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01" w:rsidRPr="000D6801" w:rsidRDefault="000D6801" w:rsidP="000D6801">
      <w:pPr>
        <w:spacing w:after="0" w:line="240" w:lineRule="auto"/>
        <w:jc w:val="center"/>
        <w:rPr>
          <w:rFonts w:ascii="Times New Roman" w:hAnsi="Times New Roman"/>
          <w:b/>
        </w:rPr>
      </w:pPr>
      <w:r w:rsidRPr="000D6801">
        <w:rPr>
          <w:rFonts w:ascii="Times New Roman" w:hAnsi="Times New Roman"/>
          <w:b/>
        </w:rPr>
        <w:t>Требования Банка к Оценочным компаниям:</w:t>
      </w:r>
    </w:p>
    <w:p w:rsidR="000D6801" w:rsidRDefault="000D6801" w:rsidP="000D6801">
      <w:pPr>
        <w:spacing w:after="0" w:line="240" w:lineRule="auto"/>
        <w:rPr>
          <w:rFonts w:ascii="Times New Roman" w:hAnsi="Times New Roman"/>
        </w:rPr>
      </w:pP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опыт работы в области оценочной деятельности не менее 3 (трех) лет;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наличие в штате оценочной компании не менее 2 (двух) оценщиков;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наличие у не менее 1 (одного) оценщика, входящего в штат оценочной компании, квалификации «оценщик» недвижимого имущества, движимого имущества, интеллектуальной собственности, нематериальных активов, оценка бизнеса и права участия в бизнесе (в совокупности);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на момент рассмотрения включения оценочной компании в Список, оценщики, находящиеся в штате оценочной компании, не должны иметь приостановлений действий свидетельств о присвоении квалификации «оценщик», согласно данным </w:t>
      </w:r>
      <w:proofErr w:type="spellStart"/>
      <w:r w:rsidRPr="00635C3F">
        <w:rPr>
          <w:rFonts w:ascii="Times New Roman" w:hAnsi="Times New Roman"/>
        </w:rPr>
        <w:t>интернет-ресурса</w:t>
      </w:r>
      <w:proofErr w:type="spellEnd"/>
      <w:r w:rsidRPr="00635C3F">
        <w:rPr>
          <w:rFonts w:ascii="Times New Roman" w:hAnsi="Times New Roman"/>
        </w:rPr>
        <w:t xml:space="preserve"> (реестров) соответствующих палат оценщиков;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оценщики, входящие в штат оценочной компании, должны быть членами в одной из палат оценщиков Республики Казахстан в порядке и на условиях, определенных в соответствии с законодательством Республики Казахстан;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в отношении оценщиков, входящих в штат оценочной компании, должно быть оформлено страхование гражданско-правовой ответственности оценщика по осуществлению профессиональной деятельности на сумму не менее, чем на 5 000 (пять тысяч) месячных расчетных показателей на один страховой случай;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судебных решений о неквалифицированном проведении оценки оценщиками/оценочной компанией в том числе оценщиком, заключившим с ней трудовой договор, в отношении которого вынесено судебное решение, за последние 3 (три) года;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решений экспертного совета палаты оценщиков, членом которой является оценщик, о неквалифицированном проведении оценки оценщиком согласно реестру членов палаты оценщиков на момент проведения проверки;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оценщика в реестре недобросовестных оценщиков, утвержденном уполномоченным органом в области оценочной деятельности;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задолженности, учет по которой ведется в органах государственных доходов и Министерством юстиции Республики Казахстан (реестр должников), более 10 (десяти) месячных расчетных показателей;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отсутствие нарушений исполнения обязательств в отношении банков второго уровня, </w:t>
      </w:r>
      <w:proofErr w:type="spellStart"/>
      <w:r w:rsidRPr="00635C3F">
        <w:rPr>
          <w:rFonts w:ascii="Times New Roman" w:hAnsi="Times New Roman"/>
        </w:rPr>
        <w:t>микрофинансовых</w:t>
      </w:r>
      <w:proofErr w:type="spellEnd"/>
      <w:r w:rsidRPr="00635C3F">
        <w:rPr>
          <w:rFonts w:ascii="Times New Roman" w:hAnsi="Times New Roman"/>
        </w:rPr>
        <w:t xml:space="preserve"> организаций, лизинговых и иных компаний, предлагающих товары и услуги в рассрочку за последние 3 (три) года;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судимости у руководителей/учредителей оценочной компании, а также оценщиков, заключивших с ней трудовой договор;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в отношении руководителей/учредителей оценочной компании, а также оценщиков, заключивших с ней трудовой договор,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правонарушения, повлекшего лишение специального права; лишение разрешения либо приостановление его действия, а также исключение из реестра; приостановление или запрещение деятельности; административный арест;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аффилированности оценочной компании, должностных лиц (руководителей/учредителей) оценочной компании, а также оценщиков, входящих в штат оценочной компании, с Банком;</w:t>
      </w:r>
    </w:p>
    <w:p w:rsidR="000D6801" w:rsidRPr="00635C3F" w:rsidRDefault="000D6801" w:rsidP="000D6801">
      <w:pPr>
        <w:pStyle w:val="1"/>
        <w:numPr>
          <w:ilvl w:val="0"/>
          <w:numId w:val="1"/>
        </w:numPr>
        <w:shd w:val="clear" w:color="auto" w:fill="auto"/>
        <w:tabs>
          <w:tab w:val="left" w:pos="665"/>
        </w:tabs>
        <w:suppressAutoHyphens/>
        <w:spacing w:before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635C3F">
        <w:rPr>
          <w:rFonts w:ascii="Times New Roman" w:hAnsi="Times New Roman" w:cs="Times New Roman"/>
        </w:rPr>
        <w:t>наличие согласия руководителей/учредителей оценочной компании, а также оценщиков, заключивших с ней трудовой договор, на сбор и обработку персональных данных</w:t>
      </w:r>
    </w:p>
    <w:p w:rsidR="008F1D3A" w:rsidRDefault="000D6801" w:rsidP="000D6801">
      <w:pPr>
        <w:jc w:val="both"/>
      </w:pPr>
      <w:bookmarkStart w:id="0" w:name="_GoBack"/>
      <w:bookmarkEnd w:id="0"/>
    </w:p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92887"/>
    <w:multiLevelType w:val="hybridMultilevel"/>
    <w:tmpl w:val="F356E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1"/>
    <w:rsid w:val="000D6801"/>
    <w:rsid w:val="00552DF3"/>
    <w:rsid w:val="00A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A8ED"/>
  <w15:chartTrackingRefBased/>
  <w15:docId w15:val="{A25A9580-FDB2-49CB-B707-D97406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D6801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6801"/>
    <w:pPr>
      <w:widowControl w:val="0"/>
      <w:shd w:val="clear" w:color="auto" w:fill="FFFFFF"/>
      <w:spacing w:before="300" w:after="0" w:line="254" w:lineRule="exact"/>
      <w:jc w:val="both"/>
    </w:pPr>
    <w:rPr>
      <w:rFonts w:ascii="Sylfaen" w:eastAsia="Sylfaen" w:hAnsi="Sylfaen" w:cs="Sylfaen"/>
    </w:rPr>
  </w:style>
  <w:style w:type="paragraph" w:styleId="a5">
    <w:name w:val="List Paragraph"/>
    <w:basedOn w:val="a"/>
    <w:link w:val="a6"/>
    <w:uiPriority w:val="34"/>
    <w:qFormat/>
    <w:rsid w:val="000D680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D68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1</cp:revision>
  <dcterms:created xsi:type="dcterms:W3CDTF">2024-02-05T04:01:00Z</dcterms:created>
  <dcterms:modified xsi:type="dcterms:W3CDTF">2024-02-05T04:04:00Z</dcterms:modified>
</cp:coreProperties>
</file>